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577B73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CC1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Explanation for </w:t>
      </w:r>
      <w:r w:rsidR="00F02E19">
        <w:rPr>
          <w:rFonts w:ascii="Arial" w:hAnsi="Arial" w:cs="Arial"/>
          <w:b/>
          <w:sz w:val="20"/>
          <w:szCs w:val="20"/>
        </w:rPr>
        <w:t>financial statement</w:t>
      </w:r>
      <w:r w:rsidR="004B0E3B">
        <w:rPr>
          <w:rFonts w:ascii="Arial" w:hAnsi="Arial" w:cs="Arial"/>
          <w:b/>
          <w:sz w:val="20"/>
          <w:szCs w:val="20"/>
        </w:rPr>
        <w:t>s</w:t>
      </w:r>
      <w:r w:rsidR="00F02E19">
        <w:rPr>
          <w:rFonts w:ascii="Arial" w:hAnsi="Arial" w:cs="Arial"/>
          <w:b/>
          <w:sz w:val="20"/>
          <w:szCs w:val="20"/>
        </w:rPr>
        <w:t xml:space="preserve">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2019 </w:t>
      </w:r>
    </w:p>
    <w:p w:rsidR="00BC16A6" w:rsidRDefault="00E36A4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77B73">
        <w:rPr>
          <w:rFonts w:ascii="Arial" w:hAnsi="Arial" w:cs="Arial"/>
          <w:sz w:val="20"/>
          <w:szCs w:val="20"/>
        </w:rPr>
        <w:t>01 Apr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577B73" w:rsidRPr="00577B73">
        <w:rPr>
          <w:rFonts w:ascii="Arial" w:hAnsi="Arial" w:cs="Arial"/>
          <w:sz w:val="20"/>
          <w:szCs w:val="20"/>
        </w:rPr>
        <w:t>Construction Corporation No.1 Joint Stock Company</w:t>
      </w:r>
      <w:r w:rsidR="00577B73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F02E19">
        <w:rPr>
          <w:rFonts w:ascii="Arial" w:hAnsi="Arial" w:cs="Arial"/>
          <w:sz w:val="20"/>
          <w:szCs w:val="20"/>
        </w:rPr>
        <w:t>financial statement</w:t>
      </w:r>
      <w:r w:rsidR="004B0E3B">
        <w:rPr>
          <w:rFonts w:ascii="Arial" w:hAnsi="Arial" w:cs="Arial"/>
          <w:sz w:val="20"/>
          <w:szCs w:val="20"/>
        </w:rPr>
        <w:t>s</w:t>
      </w:r>
      <w:r w:rsidR="00F02E19">
        <w:rPr>
          <w:rFonts w:ascii="Arial" w:hAnsi="Arial" w:cs="Arial"/>
          <w:sz w:val="20"/>
          <w:szCs w:val="20"/>
        </w:rPr>
        <w:t xml:space="preserve"> of</w:t>
      </w:r>
      <w:r w:rsidR="00026B30" w:rsidRPr="00026B30">
        <w:rPr>
          <w:rFonts w:ascii="Arial" w:hAnsi="Arial" w:cs="Arial"/>
          <w:sz w:val="20"/>
          <w:szCs w:val="20"/>
        </w:rPr>
        <w:t xml:space="preserve"> 2019 </w:t>
      </w:r>
      <w:r w:rsidR="00467BC0">
        <w:rPr>
          <w:rFonts w:ascii="Arial" w:hAnsi="Arial" w:cs="Arial"/>
          <w:sz w:val="20"/>
          <w:szCs w:val="20"/>
        </w:rPr>
        <w:t>as follows:</w:t>
      </w:r>
    </w:p>
    <w:p w:rsidR="00577B73" w:rsidRDefault="00577B73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Explanation for the profit in the financial statements of 2019 after the audit reducing</w:t>
      </w:r>
      <w:r w:rsidRPr="00577B73">
        <w:rPr>
          <w:rFonts w:ascii="Arial" w:hAnsi="Arial" w:cs="Arial"/>
          <w:sz w:val="20"/>
          <w:szCs w:val="20"/>
        </w:rPr>
        <w:t xml:space="preserve"> by over 5% compared to </w:t>
      </w:r>
      <w:r>
        <w:rPr>
          <w:rFonts w:ascii="Arial" w:hAnsi="Arial" w:cs="Arial"/>
          <w:sz w:val="20"/>
          <w:szCs w:val="20"/>
        </w:rPr>
        <w:t xml:space="preserve">before </w:t>
      </w:r>
      <w:r w:rsidRPr="00577B73">
        <w:rPr>
          <w:rFonts w:ascii="Arial" w:hAnsi="Arial" w:cs="Arial"/>
          <w:sz w:val="20"/>
          <w:szCs w:val="20"/>
        </w:rPr>
        <w:t xml:space="preserve">auditing as follows: </w:t>
      </w:r>
    </w:p>
    <w:p w:rsidR="00577B73" w:rsidRDefault="00577B73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7B73">
        <w:rPr>
          <w:rFonts w:ascii="Arial" w:hAnsi="Arial" w:cs="Arial"/>
          <w:sz w:val="20"/>
          <w:szCs w:val="20"/>
        </w:rPr>
        <w:t xml:space="preserve">- Because the </w:t>
      </w:r>
      <w:r>
        <w:rPr>
          <w:rFonts w:ascii="Arial" w:hAnsi="Arial" w:cs="Arial"/>
          <w:sz w:val="20"/>
          <w:szCs w:val="20"/>
        </w:rPr>
        <w:t>Corporation</w:t>
      </w:r>
      <w:r w:rsidRPr="00577B73">
        <w:rPr>
          <w:rFonts w:ascii="Arial" w:hAnsi="Arial" w:cs="Arial"/>
          <w:sz w:val="20"/>
          <w:szCs w:val="20"/>
        </w:rPr>
        <w:t xml:space="preserve"> reallocated the consolidated financial </w:t>
      </w:r>
      <w:r>
        <w:rPr>
          <w:rFonts w:ascii="Arial" w:hAnsi="Arial" w:cs="Arial"/>
          <w:sz w:val="20"/>
          <w:szCs w:val="20"/>
        </w:rPr>
        <w:t>expenses</w:t>
      </w:r>
      <w:r w:rsidRPr="00577B73">
        <w:rPr>
          <w:rFonts w:ascii="Arial" w:hAnsi="Arial" w:cs="Arial"/>
          <w:sz w:val="20"/>
          <w:szCs w:val="20"/>
        </w:rPr>
        <w:t xml:space="preserve"> from subsidiaries</w:t>
      </w:r>
      <w:r>
        <w:rPr>
          <w:rFonts w:ascii="Arial" w:hAnsi="Arial" w:cs="Arial"/>
          <w:sz w:val="20"/>
          <w:szCs w:val="20"/>
        </w:rPr>
        <w:t>:</w:t>
      </w:r>
      <w:r w:rsidRPr="00577B73">
        <w:rPr>
          <w:rFonts w:ascii="Arial" w:hAnsi="Arial" w:cs="Arial"/>
          <w:sz w:val="20"/>
          <w:szCs w:val="20"/>
        </w:rPr>
        <w:t xml:space="preserve"> VND </w:t>
      </w:r>
      <w:r>
        <w:rPr>
          <w:rFonts w:ascii="Arial" w:hAnsi="Arial" w:cs="Arial"/>
          <w:sz w:val="20"/>
          <w:szCs w:val="20"/>
        </w:rPr>
        <w:t>69,</w:t>
      </w:r>
      <w:r w:rsidRPr="00577B73">
        <w:rPr>
          <w:rFonts w:ascii="Arial" w:hAnsi="Arial" w:cs="Arial"/>
          <w:sz w:val="20"/>
          <w:szCs w:val="20"/>
        </w:rPr>
        <w:t xml:space="preserve">549 million </w:t>
      </w:r>
    </w:p>
    <w:p w:rsidR="00577B73" w:rsidRDefault="00577B73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7B73">
        <w:rPr>
          <w:rFonts w:ascii="Arial" w:hAnsi="Arial" w:cs="Arial"/>
          <w:sz w:val="20"/>
          <w:szCs w:val="20"/>
        </w:rPr>
        <w:t>- Du</w:t>
      </w:r>
      <w:r>
        <w:rPr>
          <w:rFonts w:ascii="Arial" w:hAnsi="Arial" w:cs="Arial"/>
          <w:sz w:val="20"/>
          <w:szCs w:val="20"/>
        </w:rPr>
        <w:t xml:space="preserve">e to the adjustment of sharing dividend </w:t>
      </w:r>
      <w:r w:rsidRPr="00577B73">
        <w:rPr>
          <w:rFonts w:ascii="Arial" w:hAnsi="Arial" w:cs="Arial"/>
          <w:sz w:val="20"/>
          <w:szCs w:val="20"/>
        </w:rPr>
        <w:t xml:space="preserve">of associates </w:t>
      </w:r>
      <w:r>
        <w:rPr>
          <w:rFonts w:ascii="Arial" w:hAnsi="Arial" w:cs="Arial"/>
          <w:sz w:val="20"/>
          <w:szCs w:val="20"/>
        </w:rPr>
        <w:t>and the recognition of dividend of the parent company</w:t>
      </w:r>
    </w:p>
    <w:p w:rsidR="00FA6F24" w:rsidRDefault="00577B73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77B73">
        <w:rPr>
          <w:rFonts w:ascii="Arial" w:hAnsi="Arial" w:cs="Arial"/>
          <w:sz w:val="20"/>
          <w:szCs w:val="20"/>
        </w:rPr>
        <w:t xml:space="preserve">Explanation for </w:t>
      </w:r>
      <w:r w:rsidR="00FA6F24">
        <w:rPr>
          <w:rFonts w:ascii="Arial" w:hAnsi="Arial" w:cs="Arial"/>
          <w:sz w:val="20"/>
          <w:szCs w:val="20"/>
        </w:rPr>
        <w:t>profit after tax in financial statements of</w:t>
      </w:r>
      <w:r w:rsidRPr="00577B73">
        <w:rPr>
          <w:rFonts w:ascii="Arial" w:hAnsi="Arial" w:cs="Arial"/>
          <w:sz w:val="20"/>
          <w:szCs w:val="20"/>
        </w:rPr>
        <w:t xml:space="preserve"> 2019 </w:t>
      </w:r>
      <w:r w:rsidR="00FA6F24">
        <w:rPr>
          <w:rFonts w:ascii="Arial" w:hAnsi="Arial" w:cs="Arial"/>
          <w:sz w:val="20"/>
          <w:szCs w:val="20"/>
        </w:rPr>
        <w:t>falling</w:t>
      </w:r>
      <w:r w:rsidRPr="00577B73">
        <w:rPr>
          <w:rFonts w:ascii="Arial" w:hAnsi="Arial" w:cs="Arial"/>
          <w:sz w:val="20"/>
          <w:szCs w:val="20"/>
        </w:rPr>
        <w:t xml:space="preserve"> by over 10% compared to </w:t>
      </w:r>
      <w:r w:rsidR="00FA6F24">
        <w:rPr>
          <w:rFonts w:ascii="Arial" w:hAnsi="Arial" w:cs="Arial"/>
          <w:sz w:val="20"/>
          <w:szCs w:val="20"/>
        </w:rPr>
        <w:t xml:space="preserve">the profit </w:t>
      </w:r>
      <w:r w:rsidRPr="00577B73">
        <w:rPr>
          <w:rFonts w:ascii="Arial" w:hAnsi="Arial" w:cs="Arial"/>
          <w:sz w:val="20"/>
          <w:szCs w:val="20"/>
        </w:rPr>
        <w:t xml:space="preserve">  </w:t>
      </w:r>
      <w:r w:rsidR="00FA6F24">
        <w:rPr>
          <w:rFonts w:ascii="Arial" w:hAnsi="Arial" w:cs="Arial"/>
          <w:sz w:val="20"/>
          <w:szCs w:val="20"/>
        </w:rPr>
        <w:t>in financial statement of</w:t>
      </w:r>
      <w:r w:rsidRPr="00577B73">
        <w:rPr>
          <w:rFonts w:ascii="Arial" w:hAnsi="Arial" w:cs="Arial"/>
          <w:sz w:val="20"/>
          <w:szCs w:val="20"/>
        </w:rPr>
        <w:t xml:space="preserve"> 2018 as follows: </w:t>
      </w:r>
    </w:p>
    <w:p w:rsidR="00FA6F24" w:rsidRDefault="00577B73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7B73">
        <w:rPr>
          <w:rFonts w:ascii="Arial" w:hAnsi="Arial" w:cs="Arial"/>
          <w:sz w:val="20"/>
          <w:szCs w:val="20"/>
        </w:rPr>
        <w:t xml:space="preserve">Due to the </w:t>
      </w:r>
      <w:r w:rsidR="00FA6F24">
        <w:rPr>
          <w:rFonts w:ascii="Arial" w:hAnsi="Arial" w:cs="Arial"/>
          <w:sz w:val="20"/>
          <w:szCs w:val="20"/>
        </w:rPr>
        <w:t xml:space="preserve">operation </w:t>
      </w:r>
      <w:r w:rsidRPr="00577B73">
        <w:rPr>
          <w:rFonts w:ascii="Arial" w:hAnsi="Arial" w:cs="Arial"/>
          <w:sz w:val="20"/>
          <w:szCs w:val="20"/>
        </w:rPr>
        <w:t xml:space="preserve">results of associates in the period </w:t>
      </w:r>
      <w:r w:rsidR="00FA6F24">
        <w:rPr>
          <w:rFonts w:ascii="Arial" w:hAnsi="Arial" w:cs="Arial"/>
          <w:sz w:val="20"/>
          <w:szCs w:val="20"/>
        </w:rPr>
        <w:t>and the recognition of dividend</w:t>
      </w:r>
      <w:r w:rsidRPr="00577B73">
        <w:rPr>
          <w:rFonts w:ascii="Arial" w:hAnsi="Arial" w:cs="Arial"/>
          <w:sz w:val="20"/>
          <w:szCs w:val="20"/>
        </w:rPr>
        <w:t xml:space="preserve"> of the parent company after </w:t>
      </w:r>
      <w:proofErr w:type="spellStart"/>
      <w:r w:rsidRPr="00577B73">
        <w:rPr>
          <w:rFonts w:ascii="Arial" w:hAnsi="Arial" w:cs="Arial"/>
          <w:sz w:val="20"/>
          <w:szCs w:val="20"/>
        </w:rPr>
        <w:t>equitization</w:t>
      </w:r>
      <w:proofErr w:type="spellEnd"/>
      <w:r w:rsidRPr="00577B73">
        <w:rPr>
          <w:rFonts w:ascii="Arial" w:hAnsi="Arial" w:cs="Arial"/>
          <w:sz w:val="20"/>
          <w:szCs w:val="20"/>
        </w:rPr>
        <w:t xml:space="preserve"> from the companies, the profit and loss items in the </w:t>
      </w:r>
      <w:r w:rsidR="00FA6F24" w:rsidRPr="00577B73">
        <w:rPr>
          <w:rFonts w:ascii="Arial" w:hAnsi="Arial" w:cs="Arial"/>
          <w:sz w:val="20"/>
          <w:szCs w:val="20"/>
        </w:rPr>
        <w:t xml:space="preserve">associated </w:t>
      </w:r>
      <w:r w:rsidR="00FA6F24">
        <w:rPr>
          <w:rFonts w:ascii="Arial" w:hAnsi="Arial" w:cs="Arial"/>
          <w:sz w:val="20"/>
          <w:szCs w:val="20"/>
        </w:rPr>
        <w:t>companies</w:t>
      </w:r>
      <w:r w:rsidRPr="00577B73">
        <w:rPr>
          <w:rFonts w:ascii="Arial" w:hAnsi="Arial" w:cs="Arial"/>
          <w:sz w:val="20"/>
          <w:szCs w:val="20"/>
        </w:rPr>
        <w:t xml:space="preserve"> </w:t>
      </w:r>
      <w:r w:rsidR="00FA6F24">
        <w:rPr>
          <w:rFonts w:ascii="Arial" w:hAnsi="Arial" w:cs="Arial"/>
          <w:sz w:val="20"/>
          <w:szCs w:val="20"/>
        </w:rPr>
        <w:t xml:space="preserve">in 2019 associate: </w:t>
      </w:r>
      <w:r w:rsidR="00FA6F24" w:rsidRPr="00577B73">
        <w:rPr>
          <w:rFonts w:ascii="Arial" w:hAnsi="Arial" w:cs="Arial"/>
          <w:sz w:val="20"/>
          <w:szCs w:val="20"/>
        </w:rPr>
        <w:t xml:space="preserve">VND </w:t>
      </w:r>
      <w:r w:rsidR="00FA6F24">
        <w:rPr>
          <w:rFonts w:ascii="Arial" w:hAnsi="Arial" w:cs="Arial"/>
          <w:sz w:val="20"/>
          <w:szCs w:val="20"/>
        </w:rPr>
        <w:t>14,</w:t>
      </w:r>
      <w:r w:rsidRPr="00577B73">
        <w:rPr>
          <w:rFonts w:ascii="Arial" w:hAnsi="Arial" w:cs="Arial"/>
          <w:sz w:val="20"/>
          <w:szCs w:val="20"/>
        </w:rPr>
        <w:t>785 million, compared to the profit of associate</w:t>
      </w:r>
      <w:r w:rsidR="00FA6F24">
        <w:rPr>
          <w:rFonts w:ascii="Arial" w:hAnsi="Arial" w:cs="Arial"/>
          <w:sz w:val="20"/>
          <w:szCs w:val="20"/>
        </w:rPr>
        <w:t>d companies</w:t>
      </w:r>
      <w:r w:rsidRPr="00577B73">
        <w:rPr>
          <w:rFonts w:ascii="Arial" w:hAnsi="Arial" w:cs="Arial"/>
          <w:sz w:val="20"/>
          <w:szCs w:val="20"/>
        </w:rPr>
        <w:t xml:space="preserve"> i</w:t>
      </w:r>
      <w:r w:rsidR="00FA6F24">
        <w:rPr>
          <w:rFonts w:ascii="Arial" w:hAnsi="Arial" w:cs="Arial"/>
          <w:sz w:val="20"/>
          <w:szCs w:val="20"/>
        </w:rPr>
        <w:t>n 2018 of</w:t>
      </w:r>
      <w:r w:rsidRPr="00577B73">
        <w:rPr>
          <w:rFonts w:ascii="Arial" w:hAnsi="Arial" w:cs="Arial"/>
          <w:sz w:val="20"/>
          <w:szCs w:val="20"/>
        </w:rPr>
        <w:t xml:space="preserve"> </w:t>
      </w:r>
      <w:r w:rsidR="00FA6F24" w:rsidRPr="00577B73">
        <w:rPr>
          <w:rFonts w:ascii="Arial" w:hAnsi="Arial" w:cs="Arial"/>
          <w:sz w:val="20"/>
          <w:szCs w:val="20"/>
        </w:rPr>
        <w:t xml:space="preserve">VND </w:t>
      </w:r>
      <w:r w:rsidR="00FA6F24">
        <w:rPr>
          <w:rFonts w:ascii="Arial" w:hAnsi="Arial" w:cs="Arial"/>
          <w:sz w:val="20"/>
          <w:szCs w:val="20"/>
        </w:rPr>
        <w:t>41,</w:t>
      </w:r>
      <w:r w:rsidRPr="00577B73">
        <w:rPr>
          <w:rFonts w:ascii="Arial" w:hAnsi="Arial" w:cs="Arial"/>
          <w:sz w:val="20"/>
          <w:szCs w:val="20"/>
        </w:rPr>
        <w:t xml:space="preserve">365 million, </w:t>
      </w:r>
      <w:r w:rsidR="00FA6F24">
        <w:rPr>
          <w:rFonts w:ascii="Arial" w:hAnsi="Arial" w:cs="Arial"/>
          <w:sz w:val="20"/>
          <w:szCs w:val="20"/>
        </w:rPr>
        <w:t xml:space="preserve">a </w:t>
      </w:r>
      <w:r w:rsidRPr="00577B73">
        <w:rPr>
          <w:rFonts w:ascii="Arial" w:hAnsi="Arial" w:cs="Arial"/>
          <w:sz w:val="20"/>
          <w:szCs w:val="20"/>
        </w:rPr>
        <w:t>difference</w:t>
      </w:r>
      <w:r w:rsidR="00FA6F24">
        <w:rPr>
          <w:rFonts w:ascii="Arial" w:hAnsi="Arial" w:cs="Arial"/>
          <w:sz w:val="20"/>
          <w:szCs w:val="20"/>
        </w:rPr>
        <w:t xml:space="preserve"> of </w:t>
      </w:r>
      <w:r w:rsidRPr="00577B73">
        <w:rPr>
          <w:rFonts w:ascii="Arial" w:hAnsi="Arial" w:cs="Arial"/>
          <w:sz w:val="20"/>
          <w:szCs w:val="20"/>
        </w:rPr>
        <w:t xml:space="preserve"> </w:t>
      </w:r>
      <w:r w:rsidR="00FA6F24" w:rsidRPr="00577B73">
        <w:rPr>
          <w:rFonts w:ascii="Arial" w:hAnsi="Arial" w:cs="Arial"/>
          <w:sz w:val="20"/>
          <w:szCs w:val="20"/>
        </w:rPr>
        <w:t xml:space="preserve">VND </w:t>
      </w:r>
      <w:r w:rsidR="00FA6F24">
        <w:rPr>
          <w:rFonts w:ascii="Arial" w:hAnsi="Arial" w:cs="Arial"/>
          <w:sz w:val="20"/>
          <w:szCs w:val="20"/>
        </w:rPr>
        <w:t>56,</w:t>
      </w:r>
      <w:r w:rsidRPr="00577B73">
        <w:rPr>
          <w:rFonts w:ascii="Arial" w:hAnsi="Arial" w:cs="Arial"/>
          <w:sz w:val="20"/>
          <w:szCs w:val="20"/>
        </w:rPr>
        <w:t xml:space="preserve">150 million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790"/>
        <w:gridCol w:w="2628"/>
      </w:tblGrid>
      <w:tr w:rsidR="00FA6F24" w:rsidTr="00FA6F24">
        <w:tc>
          <w:tcPr>
            <w:tcW w:w="4158" w:type="dxa"/>
          </w:tcPr>
          <w:p w:rsidR="00FA6F24" w:rsidRDefault="00FA6F24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FA6F24" w:rsidRDefault="00FA6F24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B73">
              <w:rPr>
                <w:rFonts w:ascii="Arial" w:hAnsi="Arial" w:cs="Arial"/>
                <w:sz w:val="20"/>
                <w:szCs w:val="20"/>
              </w:rPr>
              <w:t>Year 2019</w:t>
            </w:r>
          </w:p>
        </w:tc>
        <w:tc>
          <w:tcPr>
            <w:tcW w:w="2628" w:type="dxa"/>
          </w:tcPr>
          <w:p w:rsidR="00FA6F24" w:rsidRDefault="00FA6F24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2018</w:t>
            </w:r>
          </w:p>
        </w:tc>
      </w:tr>
      <w:tr w:rsidR="00FA6F24" w:rsidTr="00FA6F24">
        <w:tc>
          <w:tcPr>
            <w:tcW w:w="4158" w:type="dxa"/>
          </w:tcPr>
          <w:p w:rsidR="00FA6F24" w:rsidRDefault="00FA6F24" w:rsidP="00FA6F2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Dividend distributed in the period</w:t>
            </w:r>
          </w:p>
        </w:tc>
        <w:tc>
          <w:tcPr>
            <w:tcW w:w="2790" w:type="dxa"/>
          </w:tcPr>
          <w:p w:rsidR="00FA6F24" w:rsidRDefault="00FA6F24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B73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7B73">
              <w:rPr>
                <w:rFonts w:ascii="Arial" w:hAnsi="Arial" w:cs="Arial"/>
                <w:sz w:val="20"/>
                <w:szCs w:val="20"/>
              </w:rPr>
              <w:t>085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7B73">
              <w:rPr>
                <w:rFonts w:ascii="Arial" w:hAnsi="Arial" w:cs="Arial"/>
                <w:sz w:val="20"/>
                <w:szCs w:val="20"/>
              </w:rPr>
              <w:t>836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7B73"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2628" w:type="dxa"/>
          </w:tcPr>
          <w:p w:rsidR="00FA6F24" w:rsidRDefault="00FA6F24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B73">
              <w:rPr>
                <w:rFonts w:ascii="Arial" w:hAnsi="Arial" w:cs="Arial"/>
                <w:sz w:val="20"/>
                <w:szCs w:val="20"/>
              </w:rPr>
              <w:t>140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7B73">
              <w:rPr>
                <w:rFonts w:ascii="Arial" w:hAnsi="Arial" w:cs="Arial"/>
                <w:sz w:val="20"/>
                <w:szCs w:val="20"/>
              </w:rPr>
              <w:t>221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7B73">
              <w:rPr>
                <w:rFonts w:ascii="Arial" w:hAnsi="Arial" w:cs="Arial"/>
                <w:sz w:val="20"/>
                <w:szCs w:val="20"/>
              </w:rPr>
              <w:t>670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7B73">
              <w:rPr>
                <w:rFonts w:ascii="Arial" w:hAnsi="Arial" w:cs="Arial"/>
                <w:sz w:val="20"/>
                <w:szCs w:val="20"/>
              </w:rPr>
              <w:t>038</w:t>
            </w:r>
          </w:p>
        </w:tc>
      </w:tr>
      <w:tr w:rsidR="00FA6F24" w:rsidTr="00FA6F24">
        <w:tc>
          <w:tcPr>
            <w:tcW w:w="4158" w:type="dxa"/>
          </w:tcPr>
          <w:p w:rsidR="00FA6F24" w:rsidRDefault="00FA6F24" w:rsidP="00FA6F2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Part </w:t>
            </w:r>
            <w:r w:rsidRPr="00577B73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profit (loss) -</w:t>
            </w:r>
            <w:r w:rsidRPr="00577B73">
              <w:rPr>
                <w:rFonts w:ascii="Arial" w:hAnsi="Arial" w:cs="Arial"/>
                <w:sz w:val="20"/>
                <w:szCs w:val="20"/>
              </w:rPr>
              <w:t xml:space="preserve"> associates</w:t>
            </w:r>
          </w:p>
        </w:tc>
        <w:tc>
          <w:tcPr>
            <w:tcW w:w="2790" w:type="dxa"/>
          </w:tcPr>
          <w:p w:rsidR="00FA6F24" w:rsidRDefault="00FA6F24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B73">
              <w:rPr>
                <w:rFonts w:ascii="Arial" w:hAnsi="Arial" w:cs="Arial"/>
                <w:sz w:val="20"/>
                <w:szCs w:val="20"/>
              </w:rPr>
              <w:t>117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7B73">
              <w:rPr>
                <w:rFonts w:ascii="Arial" w:hAnsi="Arial" w:cs="Arial"/>
                <w:sz w:val="20"/>
                <w:szCs w:val="20"/>
              </w:rPr>
              <w:t>870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7B73">
              <w:rPr>
                <w:rFonts w:ascii="Arial" w:hAnsi="Arial" w:cs="Arial"/>
                <w:sz w:val="20"/>
                <w:szCs w:val="20"/>
              </w:rPr>
              <w:t>892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7B7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28" w:type="dxa"/>
          </w:tcPr>
          <w:p w:rsidR="00FA6F24" w:rsidRDefault="00FA6F24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B73">
              <w:rPr>
                <w:rFonts w:ascii="Arial" w:hAnsi="Arial" w:cs="Arial"/>
                <w:sz w:val="20"/>
                <w:szCs w:val="20"/>
              </w:rPr>
              <w:t>98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7B73">
              <w:rPr>
                <w:rFonts w:ascii="Arial" w:hAnsi="Arial" w:cs="Arial"/>
                <w:sz w:val="20"/>
                <w:szCs w:val="20"/>
              </w:rPr>
              <w:t>856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7B73">
              <w:rPr>
                <w:rFonts w:ascii="Arial" w:hAnsi="Arial" w:cs="Arial"/>
                <w:sz w:val="20"/>
                <w:szCs w:val="20"/>
              </w:rPr>
              <w:t>349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7B7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FA6F24" w:rsidTr="00FA6F24">
        <w:tc>
          <w:tcPr>
            <w:tcW w:w="4158" w:type="dxa"/>
          </w:tcPr>
          <w:p w:rsidR="00FA6F24" w:rsidRDefault="00FA6F24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790" w:type="dxa"/>
          </w:tcPr>
          <w:p w:rsidR="00FA6F24" w:rsidRDefault="00FA6F24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(14,785,055,303)</w:t>
            </w:r>
          </w:p>
        </w:tc>
        <w:tc>
          <w:tcPr>
            <w:tcW w:w="2628" w:type="dxa"/>
          </w:tcPr>
          <w:p w:rsidR="00FA6F24" w:rsidRDefault="00FA6F24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B73"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7B73">
              <w:rPr>
                <w:rFonts w:ascii="Arial" w:hAnsi="Arial" w:cs="Arial"/>
                <w:sz w:val="20"/>
                <w:szCs w:val="20"/>
              </w:rPr>
              <w:t>365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7B73">
              <w:rPr>
                <w:rFonts w:ascii="Arial" w:hAnsi="Arial" w:cs="Arial"/>
                <w:sz w:val="20"/>
                <w:szCs w:val="20"/>
              </w:rPr>
              <w:t>320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7B73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</w:tr>
    </w:tbl>
    <w:p w:rsidR="00623B52" w:rsidRDefault="00623B52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3B52" w:rsidRDefault="00623B52" w:rsidP="00623B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Explanation for the profit in the financial statements of 2019</w:t>
      </w:r>
      <w:r>
        <w:rPr>
          <w:rFonts w:ascii="Arial" w:hAnsi="Arial" w:cs="Arial"/>
          <w:sz w:val="20"/>
          <w:szCs w:val="20"/>
        </w:rPr>
        <w:t xml:space="preserve"> of the holding company</w:t>
      </w:r>
      <w:r>
        <w:rPr>
          <w:rFonts w:ascii="Arial" w:hAnsi="Arial" w:cs="Arial"/>
          <w:sz w:val="20"/>
          <w:szCs w:val="20"/>
        </w:rPr>
        <w:t xml:space="preserve"> after the audit reducing</w:t>
      </w:r>
      <w:r w:rsidRPr="00577B73">
        <w:rPr>
          <w:rFonts w:ascii="Arial" w:hAnsi="Arial" w:cs="Arial"/>
          <w:sz w:val="20"/>
          <w:szCs w:val="20"/>
        </w:rPr>
        <w:t xml:space="preserve"> by over 5% compared to </w:t>
      </w:r>
      <w:r>
        <w:rPr>
          <w:rFonts w:ascii="Arial" w:hAnsi="Arial" w:cs="Arial"/>
          <w:sz w:val="20"/>
          <w:szCs w:val="20"/>
        </w:rPr>
        <w:t xml:space="preserve">before </w:t>
      </w:r>
      <w:r w:rsidRPr="00577B73">
        <w:rPr>
          <w:rFonts w:ascii="Arial" w:hAnsi="Arial" w:cs="Arial"/>
          <w:sz w:val="20"/>
          <w:szCs w:val="20"/>
        </w:rPr>
        <w:t xml:space="preserve">auditing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340"/>
        <w:gridCol w:w="2160"/>
        <w:gridCol w:w="1620"/>
        <w:gridCol w:w="1098"/>
      </w:tblGrid>
      <w:tr w:rsidR="00623B52" w:rsidTr="00623B52">
        <w:tc>
          <w:tcPr>
            <w:tcW w:w="2358" w:type="dxa"/>
          </w:tcPr>
          <w:p w:rsidR="00623B52" w:rsidRDefault="00623B52" w:rsidP="00623B5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2340" w:type="dxa"/>
          </w:tcPr>
          <w:p w:rsidR="00623B52" w:rsidRDefault="00623B52" w:rsidP="00623B5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B52">
              <w:rPr>
                <w:rFonts w:ascii="Arial" w:hAnsi="Arial" w:cs="Arial"/>
                <w:sz w:val="20"/>
                <w:szCs w:val="20"/>
              </w:rPr>
              <w:t xml:space="preserve">Profit in 2019 - before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623B52">
              <w:rPr>
                <w:rFonts w:ascii="Arial" w:hAnsi="Arial" w:cs="Arial"/>
                <w:sz w:val="20"/>
                <w:szCs w:val="20"/>
              </w:rPr>
              <w:t xml:space="preserve"> audit</w:t>
            </w:r>
          </w:p>
        </w:tc>
        <w:tc>
          <w:tcPr>
            <w:tcW w:w="2160" w:type="dxa"/>
          </w:tcPr>
          <w:p w:rsidR="00623B52" w:rsidRDefault="00623B52" w:rsidP="00623B5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23B52">
              <w:rPr>
                <w:rFonts w:ascii="Arial" w:hAnsi="Arial" w:cs="Arial"/>
                <w:sz w:val="20"/>
                <w:szCs w:val="20"/>
              </w:rPr>
              <w:t xml:space="preserve">rofit 2019 - after </w:t>
            </w:r>
            <w:r>
              <w:rPr>
                <w:rFonts w:ascii="Arial" w:hAnsi="Arial" w:cs="Arial"/>
                <w:sz w:val="20"/>
                <w:szCs w:val="20"/>
              </w:rPr>
              <w:t>the audit</w:t>
            </w:r>
          </w:p>
        </w:tc>
        <w:tc>
          <w:tcPr>
            <w:tcW w:w="1620" w:type="dxa"/>
          </w:tcPr>
          <w:p w:rsidR="00623B52" w:rsidRDefault="00623B52" w:rsidP="00623B5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B52">
              <w:rPr>
                <w:rFonts w:ascii="Arial" w:hAnsi="Arial" w:cs="Arial"/>
                <w:sz w:val="20"/>
                <w:szCs w:val="20"/>
              </w:rPr>
              <w:t>Difference</w:t>
            </w:r>
          </w:p>
        </w:tc>
        <w:tc>
          <w:tcPr>
            <w:tcW w:w="1098" w:type="dxa"/>
          </w:tcPr>
          <w:p w:rsidR="00623B52" w:rsidRDefault="00623B52" w:rsidP="00623B5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</w:tr>
      <w:tr w:rsidR="00623B52" w:rsidTr="00623B52">
        <w:tc>
          <w:tcPr>
            <w:tcW w:w="2358" w:type="dxa"/>
          </w:tcPr>
          <w:p w:rsidR="00623B52" w:rsidRDefault="00623B52" w:rsidP="00623B5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Separate financial statement</w:t>
            </w:r>
            <w:r w:rsidRPr="00623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23B52" w:rsidRDefault="00623B52" w:rsidP="00623B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B52">
              <w:rPr>
                <w:rFonts w:ascii="Arial" w:hAnsi="Arial" w:cs="Arial"/>
                <w:sz w:val="20"/>
                <w:szCs w:val="20"/>
              </w:rPr>
              <w:t>54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23B52">
              <w:rPr>
                <w:rFonts w:ascii="Arial" w:hAnsi="Arial" w:cs="Arial"/>
                <w:sz w:val="20"/>
                <w:szCs w:val="20"/>
              </w:rPr>
              <w:t>835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23B52">
              <w:rPr>
                <w:rFonts w:ascii="Arial" w:hAnsi="Arial" w:cs="Arial"/>
                <w:sz w:val="20"/>
                <w:szCs w:val="20"/>
              </w:rPr>
              <w:t>638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23B52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2160" w:type="dxa"/>
            <w:vAlign w:val="center"/>
          </w:tcPr>
          <w:p w:rsidR="00623B52" w:rsidRDefault="00623B52" w:rsidP="00623B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B52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23B52">
              <w:rPr>
                <w:rFonts w:ascii="Arial" w:hAnsi="Arial" w:cs="Arial"/>
                <w:sz w:val="20"/>
                <w:szCs w:val="20"/>
              </w:rPr>
              <w:t>442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23B52">
              <w:rPr>
                <w:rFonts w:ascii="Arial" w:hAnsi="Arial" w:cs="Arial"/>
                <w:sz w:val="20"/>
                <w:szCs w:val="20"/>
              </w:rPr>
              <w:t>087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23B52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620" w:type="dxa"/>
            <w:vAlign w:val="center"/>
          </w:tcPr>
          <w:p w:rsidR="00623B52" w:rsidRDefault="00623B52" w:rsidP="00623B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B5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23B52">
              <w:rPr>
                <w:rFonts w:ascii="Arial" w:hAnsi="Arial" w:cs="Arial"/>
                <w:sz w:val="20"/>
                <w:szCs w:val="20"/>
              </w:rPr>
              <w:t>393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23B52">
              <w:rPr>
                <w:rFonts w:ascii="Arial" w:hAnsi="Arial" w:cs="Arial"/>
                <w:sz w:val="20"/>
                <w:szCs w:val="20"/>
              </w:rPr>
              <w:t>550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23B52">
              <w:rPr>
                <w:rFonts w:ascii="Arial" w:hAnsi="Arial" w:cs="Arial"/>
                <w:sz w:val="20"/>
                <w:szCs w:val="20"/>
              </w:rPr>
              <w:t>979</w:t>
            </w:r>
          </w:p>
        </w:tc>
        <w:tc>
          <w:tcPr>
            <w:tcW w:w="1098" w:type="dxa"/>
            <w:vAlign w:val="center"/>
          </w:tcPr>
          <w:p w:rsidR="00623B52" w:rsidRDefault="00623B52" w:rsidP="00623B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B52">
              <w:rPr>
                <w:rFonts w:ascii="Arial" w:hAnsi="Arial" w:cs="Arial"/>
                <w:sz w:val="20"/>
                <w:szCs w:val="20"/>
              </w:rPr>
              <w:t>9%</w:t>
            </w:r>
          </w:p>
        </w:tc>
      </w:tr>
    </w:tbl>
    <w:p w:rsidR="00623B52" w:rsidRDefault="00623B52" w:rsidP="00623B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3B52" w:rsidRDefault="00F372B9" w:rsidP="00623B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</w:t>
      </w:r>
      <w:r w:rsidR="00623B5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623B52">
        <w:rPr>
          <w:rFonts w:ascii="Arial" w:hAnsi="Arial" w:cs="Arial"/>
          <w:sz w:val="20"/>
          <w:szCs w:val="20"/>
        </w:rPr>
        <w:t>The major change came</w:t>
      </w:r>
      <w:r w:rsidR="00623B52" w:rsidRPr="00623B52">
        <w:rPr>
          <w:rFonts w:ascii="Arial" w:hAnsi="Arial" w:cs="Arial"/>
          <w:sz w:val="20"/>
          <w:szCs w:val="20"/>
        </w:rPr>
        <w:t xml:space="preserve"> mainly from </w:t>
      </w:r>
      <w:r w:rsidR="00623B52">
        <w:rPr>
          <w:rFonts w:ascii="Arial" w:hAnsi="Arial" w:cs="Arial"/>
          <w:sz w:val="20"/>
          <w:szCs w:val="20"/>
        </w:rPr>
        <w:t xml:space="preserve">the financial activities of </w:t>
      </w:r>
      <w:r w:rsidR="00623B52" w:rsidRPr="00623B52">
        <w:rPr>
          <w:rFonts w:ascii="Arial" w:hAnsi="Arial" w:cs="Arial"/>
          <w:sz w:val="20"/>
          <w:szCs w:val="20"/>
        </w:rPr>
        <w:t xml:space="preserve">2019 due to: </w:t>
      </w:r>
    </w:p>
    <w:p w:rsidR="0069535C" w:rsidRDefault="00623B52" w:rsidP="00623B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3B5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F</w:t>
      </w:r>
      <w:r w:rsidRPr="00623B52">
        <w:rPr>
          <w:rFonts w:ascii="Arial" w:hAnsi="Arial" w:cs="Arial"/>
          <w:sz w:val="20"/>
          <w:szCs w:val="20"/>
        </w:rPr>
        <w:t xml:space="preserve">inancial </w:t>
      </w:r>
      <w:r>
        <w:rPr>
          <w:rFonts w:ascii="Arial" w:hAnsi="Arial" w:cs="Arial"/>
          <w:sz w:val="20"/>
          <w:szCs w:val="20"/>
        </w:rPr>
        <w:t>income was</w:t>
      </w:r>
      <w:r w:rsidRPr="00623B52">
        <w:rPr>
          <w:rFonts w:ascii="Arial" w:hAnsi="Arial" w:cs="Arial"/>
          <w:sz w:val="20"/>
          <w:szCs w:val="20"/>
        </w:rPr>
        <w:t xml:space="preserve"> from deposits </w:t>
      </w:r>
      <w:r>
        <w:rPr>
          <w:rFonts w:ascii="Arial" w:hAnsi="Arial" w:cs="Arial"/>
          <w:sz w:val="20"/>
          <w:szCs w:val="20"/>
        </w:rPr>
        <w:t>at the end of</w:t>
      </w:r>
      <w:r w:rsidRPr="00623B52">
        <w:rPr>
          <w:rFonts w:ascii="Arial" w:hAnsi="Arial" w:cs="Arial"/>
          <w:sz w:val="20"/>
          <w:szCs w:val="20"/>
        </w:rPr>
        <w:t xml:space="preserve"> December 20</w:t>
      </w:r>
      <w:r w:rsidR="0069535C">
        <w:rPr>
          <w:rFonts w:ascii="Arial" w:hAnsi="Arial" w:cs="Arial"/>
          <w:sz w:val="20"/>
          <w:szCs w:val="20"/>
        </w:rPr>
        <w:t>19 after collecting all balance</w:t>
      </w:r>
      <w:r w:rsidRPr="00623B52">
        <w:rPr>
          <w:rFonts w:ascii="Arial" w:hAnsi="Arial" w:cs="Arial"/>
          <w:sz w:val="20"/>
          <w:szCs w:val="20"/>
        </w:rPr>
        <w:t xml:space="preserve"> confirmations </w:t>
      </w:r>
      <w:r w:rsidR="0069535C">
        <w:rPr>
          <w:rFonts w:ascii="Arial" w:hAnsi="Arial" w:cs="Arial"/>
          <w:sz w:val="20"/>
          <w:szCs w:val="20"/>
        </w:rPr>
        <w:t>on</w:t>
      </w:r>
      <w:r w:rsidRPr="00623B52">
        <w:rPr>
          <w:rFonts w:ascii="Arial" w:hAnsi="Arial" w:cs="Arial"/>
          <w:sz w:val="20"/>
          <w:szCs w:val="20"/>
        </w:rPr>
        <w:t xml:space="preserve"> 31 December 2019 between CC1 and the banks </w:t>
      </w:r>
      <w:bookmarkStart w:id="0" w:name="_GoBack"/>
      <w:bookmarkEnd w:id="0"/>
    </w:p>
    <w:p w:rsidR="00F372B9" w:rsidRDefault="0069535C" w:rsidP="00623B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The additional financial expense was</w:t>
      </w:r>
      <w:r w:rsidR="00623B52" w:rsidRPr="00623B52">
        <w:rPr>
          <w:rFonts w:ascii="Arial" w:hAnsi="Arial" w:cs="Arial"/>
          <w:sz w:val="20"/>
          <w:szCs w:val="20"/>
        </w:rPr>
        <w:t xml:space="preserve"> from bank loans </w:t>
      </w:r>
      <w:r>
        <w:rPr>
          <w:rFonts w:ascii="Arial" w:hAnsi="Arial" w:cs="Arial"/>
          <w:sz w:val="20"/>
          <w:szCs w:val="20"/>
        </w:rPr>
        <w:t>at</w:t>
      </w:r>
      <w:r w:rsidR="00623B52" w:rsidRPr="00623B52">
        <w:rPr>
          <w:rFonts w:ascii="Arial" w:hAnsi="Arial" w:cs="Arial"/>
          <w:sz w:val="20"/>
          <w:szCs w:val="20"/>
        </w:rPr>
        <w:t xml:space="preserve"> the end of December 20</w:t>
      </w:r>
      <w:r>
        <w:rPr>
          <w:rFonts w:ascii="Arial" w:hAnsi="Arial" w:cs="Arial"/>
          <w:sz w:val="20"/>
          <w:szCs w:val="20"/>
        </w:rPr>
        <w:t>19 after collecting all balance</w:t>
      </w:r>
      <w:r w:rsidR="00623B52" w:rsidRPr="00623B52">
        <w:rPr>
          <w:rFonts w:ascii="Arial" w:hAnsi="Arial" w:cs="Arial"/>
          <w:sz w:val="20"/>
          <w:szCs w:val="20"/>
        </w:rPr>
        <w:t xml:space="preserve"> confirmation </w:t>
      </w:r>
      <w:r>
        <w:rPr>
          <w:rFonts w:ascii="Arial" w:hAnsi="Arial" w:cs="Arial"/>
          <w:sz w:val="20"/>
          <w:szCs w:val="20"/>
        </w:rPr>
        <w:t>on</w:t>
      </w:r>
      <w:r w:rsidR="00623B52" w:rsidRPr="00623B52">
        <w:rPr>
          <w:rFonts w:ascii="Arial" w:hAnsi="Arial" w:cs="Arial"/>
          <w:sz w:val="20"/>
          <w:szCs w:val="20"/>
        </w:rPr>
        <w:t xml:space="preserve"> 31 December 2019 between CC1 and the banks </w:t>
      </w:r>
      <w:r w:rsidR="00F372B9">
        <w:rPr>
          <w:rFonts w:ascii="Arial" w:hAnsi="Arial" w:cs="Arial"/>
          <w:sz w:val="20"/>
          <w:szCs w:val="20"/>
        </w:rPr>
        <w:t>and s</w:t>
      </w:r>
      <w:r w:rsidR="00623B52" w:rsidRPr="00623B52">
        <w:rPr>
          <w:rFonts w:ascii="Arial" w:hAnsi="Arial" w:cs="Arial"/>
          <w:sz w:val="20"/>
          <w:szCs w:val="20"/>
        </w:rPr>
        <w:t>upplement interest expense</w:t>
      </w:r>
      <w:r w:rsidR="00F372B9">
        <w:rPr>
          <w:rFonts w:ascii="Arial" w:hAnsi="Arial" w:cs="Arial"/>
          <w:sz w:val="20"/>
          <w:szCs w:val="20"/>
        </w:rPr>
        <w:t xml:space="preserve"> for construction</w:t>
      </w:r>
      <w:r w:rsidR="00623B52" w:rsidRPr="00623B52">
        <w:rPr>
          <w:rFonts w:ascii="Arial" w:hAnsi="Arial" w:cs="Arial"/>
          <w:sz w:val="20"/>
          <w:szCs w:val="20"/>
        </w:rPr>
        <w:t xml:space="preserve"> projects</w:t>
      </w:r>
      <w:r w:rsidR="00F372B9">
        <w:rPr>
          <w:rFonts w:ascii="Arial" w:hAnsi="Arial" w:cs="Arial"/>
          <w:sz w:val="20"/>
          <w:szCs w:val="20"/>
        </w:rPr>
        <w:t xml:space="preserve"> in progress</w:t>
      </w:r>
      <w:r w:rsidR="00623B52" w:rsidRPr="00623B52">
        <w:rPr>
          <w:rFonts w:ascii="Arial" w:hAnsi="Arial" w:cs="Arial"/>
          <w:sz w:val="20"/>
          <w:szCs w:val="20"/>
        </w:rPr>
        <w:t xml:space="preserve"> after receiving all documents </w:t>
      </w:r>
    </w:p>
    <w:sectPr w:rsidR="00F37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6B30"/>
    <w:rsid w:val="00041B1A"/>
    <w:rsid w:val="000A79D8"/>
    <w:rsid w:val="000E15ED"/>
    <w:rsid w:val="00125C9D"/>
    <w:rsid w:val="001654BA"/>
    <w:rsid w:val="00244C92"/>
    <w:rsid w:val="0026711C"/>
    <w:rsid w:val="00293FEB"/>
    <w:rsid w:val="002B59F4"/>
    <w:rsid w:val="00303E63"/>
    <w:rsid w:val="00330005"/>
    <w:rsid w:val="00346788"/>
    <w:rsid w:val="003A771E"/>
    <w:rsid w:val="003B2570"/>
    <w:rsid w:val="00467BC0"/>
    <w:rsid w:val="00496733"/>
    <w:rsid w:val="004B0E3B"/>
    <w:rsid w:val="004C7900"/>
    <w:rsid w:val="00577B73"/>
    <w:rsid w:val="005B0276"/>
    <w:rsid w:val="005E7D00"/>
    <w:rsid w:val="00623B52"/>
    <w:rsid w:val="00695103"/>
    <w:rsid w:val="0069535C"/>
    <w:rsid w:val="006E13A2"/>
    <w:rsid w:val="00701F46"/>
    <w:rsid w:val="007028B7"/>
    <w:rsid w:val="00745D9A"/>
    <w:rsid w:val="007F7DB7"/>
    <w:rsid w:val="008078B6"/>
    <w:rsid w:val="0088081B"/>
    <w:rsid w:val="008854CF"/>
    <w:rsid w:val="00887C3A"/>
    <w:rsid w:val="00981C95"/>
    <w:rsid w:val="00A62855"/>
    <w:rsid w:val="00A81EB3"/>
    <w:rsid w:val="00AA01BA"/>
    <w:rsid w:val="00AF67BE"/>
    <w:rsid w:val="00B40E78"/>
    <w:rsid w:val="00BC16A6"/>
    <w:rsid w:val="00C324E9"/>
    <w:rsid w:val="00C72FFB"/>
    <w:rsid w:val="00CA6F06"/>
    <w:rsid w:val="00CC15D8"/>
    <w:rsid w:val="00E11EBD"/>
    <w:rsid w:val="00E36A48"/>
    <w:rsid w:val="00ED31AF"/>
    <w:rsid w:val="00F02E19"/>
    <w:rsid w:val="00F163FC"/>
    <w:rsid w:val="00F372B9"/>
    <w:rsid w:val="00F655B9"/>
    <w:rsid w:val="00F85153"/>
    <w:rsid w:val="00F9058F"/>
    <w:rsid w:val="00FA6F24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62</cp:revision>
  <dcterms:created xsi:type="dcterms:W3CDTF">2019-10-16T10:03:00Z</dcterms:created>
  <dcterms:modified xsi:type="dcterms:W3CDTF">2020-04-10T17:16:00Z</dcterms:modified>
</cp:coreProperties>
</file>